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52B5" w14:textId="37D35F60" w:rsidR="00551D54" w:rsidRPr="002D1585" w:rsidRDefault="00131B50" w:rsidP="002D1585">
      <w:pPr>
        <w:spacing w:after="0"/>
        <w:jc w:val="center"/>
        <w:rPr>
          <w:b/>
          <w:bCs/>
          <w:color w:val="000000" w:themeColor="text1"/>
        </w:rPr>
      </w:pPr>
      <w:r w:rsidRPr="002D1585">
        <w:rPr>
          <w:b/>
          <w:bCs/>
          <w:color w:val="000000" w:themeColor="text1"/>
        </w:rPr>
        <w:t xml:space="preserve">Transparent and </w:t>
      </w:r>
      <w:proofErr w:type="spellStart"/>
      <w:r w:rsidRPr="002D1585">
        <w:rPr>
          <w:b/>
          <w:bCs/>
          <w:color w:val="000000" w:themeColor="text1"/>
        </w:rPr>
        <w:t>Personalised</w:t>
      </w:r>
      <w:proofErr w:type="spellEnd"/>
      <w:r w:rsidRPr="002D1585">
        <w:rPr>
          <w:b/>
          <w:bCs/>
          <w:color w:val="000000" w:themeColor="text1"/>
        </w:rPr>
        <w:t xml:space="preserve"> AI Support in Air Traffic Control: First Empirical Results</w:t>
      </w:r>
    </w:p>
    <w:p w14:paraId="42FEA9FC" w14:textId="7F44D6C1" w:rsidR="00131B50" w:rsidRPr="007D3B5F" w:rsidRDefault="00131B50" w:rsidP="002D1585">
      <w:pPr>
        <w:spacing w:after="0"/>
        <w:jc w:val="center"/>
        <w:rPr>
          <w:color w:val="000000" w:themeColor="text1"/>
          <w:vertAlign w:val="superscript"/>
          <w:lang w:val="it-IT"/>
        </w:rPr>
      </w:pPr>
      <w:r w:rsidRPr="007D3B5F">
        <w:rPr>
          <w:color w:val="000000" w:themeColor="text1"/>
          <w:lang w:val="it-IT"/>
        </w:rPr>
        <w:t>Bonelli, S.</w:t>
      </w:r>
      <w:r w:rsidRPr="007D3B5F">
        <w:rPr>
          <w:color w:val="000000" w:themeColor="text1"/>
          <w:vertAlign w:val="superscript"/>
          <w:lang w:val="it-IT"/>
        </w:rPr>
        <w:t>1</w:t>
      </w:r>
      <w:r w:rsidRPr="007D3B5F">
        <w:rPr>
          <w:color w:val="000000" w:themeColor="text1"/>
          <w:lang w:val="it-IT"/>
        </w:rPr>
        <w:t>, Borst, C.</w:t>
      </w:r>
      <w:r w:rsidRPr="007D3B5F">
        <w:rPr>
          <w:color w:val="000000" w:themeColor="text1"/>
          <w:vertAlign w:val="superscript"/>
          <w:lang w:val="it-IT"/>
        </w:rPr>
        <w:t>2</w:t>
      </w:r>
      <w:r w:rsidRPr="007D3B5F">
        <w:rPr>
          <w:color w:val="000000" w:themeColor="text1"/>
          <w:lang w:val="it-IT"/>
        </w:rPr>
        <w:t xml:space="preserve"> , Brambati, F.</w:t>
      </w:r>
      <w:r w:rsidRPr="007D3B5F">
        <w:rPr>
          <w:color w:val="000000" w:themeColor="text1"/>
          <w:vertAlign w:val="superscript"/>
          <w:lang w:val="it-IT"/>
        </w:rPr>
        <w:t>1</w:t>
      </w:r>
      <w:r w:rsidRPr="007D3B5F">
        <w:rPr>
          <w:color w:val="000000" w:themeColor="text1"/>
          <w:lang w:val="it-IT"/>
        </w:rPr>
        <w:t>, Cocchioni, M.</w:t>
      </w:r>
      <w:r w:rsidRPr="007D3B5F">
        <w:rPr>
          <w:color w:val="000000" w:themeColor="text1"/>
          <w:vertAlign w:val="superscript"/>
          <w:lang w:val="it-IT"/>
        </w:rPr>
        <w:t>1</w:t>
      </w:r>
      <w:r w:rsidRPr="007D3B5F">
        <w:rPr>
          <w:color w:val="000000" w:themeColor="text1"/>
          <w:lang w:val="it-IT"/>
        </w:rPr>
        <w:t>, Hilburn, B.</w:t>
      </w:r>
      <w:r w:rsidRPr="007D3B5F">
        <w:rPr>
          <w:color w:val="000000" w:themeColor="text1"/>
          <w:vertAlign w:val="superscript"/>
          <w:lang w:val="it-IT"/>
        </w:rPr>
        <w:t>3</w:t>
      </w:r>
      <w:r w:rsidRPr="007D3B5F">
        <w:rPr>
          <w:color w:val="000000" w:themeColor="text1"/>
          <w:lang w:val="it-IT"/>
        </w:rPr>
        <w:t xml:space="preserve"> &amp; </w:t>
      </w:r>
      <w:r w:rsidR="00C506EF" w:rsidRPr="007D3B5F">
        <w:rPr>
          <w:color w:val="000000" w:themeColor="text1"/>
          <w:lang w:val="it-IT"/>
        </w:rPr>
        <w:t>Monteiro</w:t>
      </w:r>
      <w:r w:rsidRPr="007D3B5F">
        <w:rPr>
          <w:color w:val="000000" w:themeColor="text1"/>
          <w:lang w:val="it-IT"/>
        </w:rPr>
        <w:t>-Nunes, T.</w:t>
      </w:r>
      <w:r w:rsidRPr="007D3B5F">
        <w:rPr>
          <w:color w:val="000000" w:themeColor="text1"/>
          <w:vertAlign w:val="superscript"/>
          <w:lang w:val="it-IT"/>
        </w:rPr>
        <w:t>2</w:t>
      </w:r>
      <w:r w:rsidRPr="007D3B5F">
        <w:rPr>
          <w:color w:val="000000" w:themeColor="text1"/>
          <w:lang w:val="it-IT"/>
        </w:rPr>
        <w:t>***</w:t>
      </w:r>
    </w:p>
    <w:p w14:paraId="0FF4A54B" w14:textId="7812CDA6" w:rsidR="00131B50" w:rsidRDefault="00131B50" w:rsidP="002D1585">
      <w:pPr>
        <w:spacing w:after="0"/>
        <w:jc w:val="center"/>
        <w:rPr>
          <w:color w:val="000000" w:themeColor="text1"/>
        </w:rPr>
      </w:pPr>
      <w:r w:rsidRPr="00131B50">
        <w:rPr>
          <w:color w:val="000000" w:themeColor="text1"/>
        </w:rPr>
        <w:t>*** authors</w:t>
      </w:r>
      <w:r w:rsidR="009B6498">
        <w:rPr>
          <w:color w:val="000000" w:themeColor="text1"/>
        </w:rPr>
        <w:t xml:space="preserve"> are ordered alphabetically </w:t>
      </w:r>
      <w:r w:rsidRPr="00131B50">
        <w:rPr>
          <w:color w:val="000000" w:themeColor="text1"/>
        </w:rPr>
        <w:t xml:space="preserve">by </w:t>
      </w:r>
      <w:r w:rsidR="0020591A">
        <w:rPr>
          <w:color w:val="000000" w:themeColor="text1"/>
        </w:rPr>
        <w:t>surname</w:t>
      </w:r>
    </w:p>
    <w:p w14:paraId="0CC64931" w14:textId="77777777" w:rsidR="00131B50" w:rsidRPr="00131B50" w:rsidRDefault="00131B50" w:rsidP="00131B50">
      <w:pPr>
        <w:jc w:val="center"/>
        <w:rPr>
          <w:color w:val="000000" w:themeColor="text1"/>
        </w:rPr>
      </w:pPr>
    </w:p>
    <w:p w14:paraId="7AFBC64B" w14:textId="4EEC9068" w:rsidR="00131B50" w:rsidRDefault="00131B50" w:rsidP="00131B50">
      <w:pPr>
        <w:spacing w:after="0"/>
        <w:jc w:val="center"/>
      </w:pPr>
      <w:r>
        <w:rPr>
          <w:color w:val="000000" w:themeColor="text1"/>
          <w:vertAlign w:val="superscript"/>
        </w:rPr>
        <w:t xml:space="preserve">1 </w:t>
      </w:r>
      <w:r w:rsidRPr="00131B50">
        <w:rPr>
          <w:color w:val="000000" w:themeColor="text1"/>
        </w:rPr>
        <w:t xml:space="preserve">Deep </w:t>
      </w:r>
      <w:r w:rsidRPr="00131B50">
        <w:t>Blue SRL</w:t>
      </w:r>
      <w:r>
        <w:t xml:space="preserve">, </w:t>
      </w:r>
      <w:r w:rsidRPr="00131B50">
        <w:t>Rome, Italy</w:t>
      </w:r>
    </w:p>
    <w:p w14:paraId="0D065F6A" w14:textId="62102332" w:rsidR="00131B50" w:rsidRPr="00131B50" w:rsidRDefault="00131B50" w:rsidP="00131B50">
      <w:pPr>
        <w:spacing w:after="0"/>
        <w:jc w:val="center"/>
        <w:rPr>
          <w:color w:val="000000" w:themeColor="text1"/>
        </w:rPr>
      </w:pPr>
      <w:r>
        <w:rPr>
          <w:color w:val="000000" w:themeColor="text1"/>
          <w:vertAlign w:val="superscript"/>
        </w:rPr>
        <w:t xml:space="preserve">2 </w:t>
      </w:r>
      <w:r>
        <w:rPr>
          <w:color w:val="000000" w:themeColor="text1"/>
        </w:rPr>
        <w:t>Deft University of Technology, Delft, the Netherlands</w:t>
      </w:r>
    </w:p>
    <w:p w14:paraId="4887177C" w14:textId="15C2490E" w:rsidR="00131B50" w:rsidRDefault="00131B50" w:rsidP="00131B50">
      <w:pPr>
        <w:spacing w:after="0"/>
        <w:jc w:val="center"/>
        <w:rPr>
          <w:color w:val="000000" w:themeColor="text1"/>
        </w:rPr>
      </w:pPr>
      <w:r>
        <w:rPr>
          <w:color w:val="000000" w:themeColor="text1"/>
          <w:vertAlign w:val="superscript"/>
        </w:rPr>
        <w:t xml:space="preserve">3 </w:t>
      </w:r>
      <w:r>
        <w:rPr>
          <w:color w:val="000000" w:themeColor="text1"/>
        </w:rPr>
        <w:t xml:space="preserve">Center for Human Performance Research CHPR BV, </w:t>
      </w:r>
      <w:proofErr w:type="spellStart"/>
      <w:r>
        <w:rPr>
          <w:color w:val="000000" w:themeColor="text1"/>
        </w:rPr>
        <w:t>Voorburg</w:t>
      </w:r>
      <w:proofErr w:type="spellEnd"/>
      <w:r>
        <w:rPr>
          <w:color w:val="000000" w:themeColor="text1"/>
        </w:rPr>
        <w:t>, the Netherlands</w:t>
      </w:r>
    </w:p>
    <w:p w14:paraId="6D5648AF" w14:textId="222F502C" w:rsidR="00761757" w:rsidRDefault="00761757" w:rsidP="00131B50">
      <w:pPr>
        <w:spacing w:after="0"/>
        <w:jc w:val="center"/>
        <w:rPr>
          <w:color w:val="000000" w:themeColor="text1"/>
        </w:rPr>
      </w:pPr>
    </w:p>
    <w:p w14:paraId="0C235F5C" w14:textId="4E7198B7" w:rsidR="00761757" w:rsidRDefault="00761757" w:rsidP="00761757">
      <w:pPr>
        <w:spacing w:after="0"/>
        <w:rPr>
          <w:color w:val="000000" w:themeColor="text1"/>
        </w:rPr>
      </w:pPr>
    </w:p>
    <w:p w14:paraId="76FC8AC1" w14:textId="77777777" w:rsidR="00761757" w:rsidRDefault="00761757" w:rsidP="00761757">
      <w:pPr>
        <w:spacing w:after="0"/>
        <w:rPr>
          <w:color w:val="000000" w:themeColor="text1"/>
        </w:rPr>
      </w:pPr>
    </w:p>
    <w:p w14:paraId="75799621" w14:textId="77777777" w:rsidR="00022D8C" w:rsidRPr="00022D8C" w:rsidRDefault="00022D8C" w:rsidP="00E658A8">
      <w:pPr>
        <w:jc w:val="both"/>
        <w:rPr>
          <w:b/>
          <w:bCs/>
          <w:sz w:val="24"/>
          <w:szCs w:val="24"/>
        </w:rPr>
      </w:pPr>
      <w:r w:rsidRPr="00022D8C">
        <w:rPr>
          <w:b/>
          <w:bCs/>
          <w:sz w:val="24"/>
          <w:szCs w:val="24"/>
        </w:rPr>
        <w:t>Introduction</w:t>
      </w:r>
    </w:p>
    <w:p w14:paraId="63194203" w14:textId="52BC18AC" w:rsidR="00160B9D" w:rsidRDefault="001C2F82" w:rsidP="00E658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air traffic </w:t>
      </w:r>
      <w:r w:rsidR="006D66D3">
        <w:rPr>
          <w:sz w:val="24"/>
          <w:szCs w:val="24"/>
        </w:rPr>
        <w:t>management</w:t>
      </w:r>
      <w:r>
        <w:rPr>
          <w:sz w:val="24"/>
          <w:szCs w:val="24"/>
        </w:rPr>
        <w:t xml:space="preserve"> (AT</w:t>
      </w:r>
      <w:r w:rsidR="006D66D3">
        <w:rPr>
          <w:sz w:val="24"/>
          <w:szCs w:val="24"/>
        </w:rPr>
        <w:t>M</w:t>
      </w:r>
      <w:r>
        <w:rPr>
          <w:sz w:val="24"/>
          <w:szCs w:val="24"/>
        </w:rPr>
        <w:t xml:space="preserve">) community is committed to greater use of automation to accommodate predicted traffic growth. In particular, Artificial Intelligence (AI) is seen as a key </w:t>
      </w:r>
      <w:r w:rsidR="00160B9D">
        <w:rPr>
          <w:sz w:val="24"/>
          <w:szCs w:val="24"/>
        </w:rPr>
        <w:t>enabler</w:t>
      </w:r>
      <w:r>
        <w:rPr>
          <w:sz w:val="24"/>
          <w:szCs w:val="24"/>
        </w:rPr>
        <w:t xml:space="preserve"> of future ATM systems.</w:t>
      </w:r>
      <w:r w:rsidR="00160B9D">
        <w:rPr>
          <w:sz w:val="24"/>
          <w:szCs w:val="24"/>
        </w:rPr>
        <w:t xml:space="preserve"> The ATM community, in turn, is actively engaged in research to help guide the design of AI in </w:t>
      </w:r>
      <w:r w:rsidR="008F5E63">
        <w:rPr>
          <w:sz w:val="24"/>
          <w:szCs w:val="24"/>
        </w:rPr>
        <w:t>future ATM</w:t>
      </w:r>
      <w:r w:rsidR="00160B9D">
        <w:rPr>
          <w:sz w:val="24"/>
          <w:szCs w:val="24"/>
        </w:rPr>
        <w:t xml:space="preserve">. </w:t>
      </w:r>
    </w:p>
    <w:p w14:paraId="04012B7F" w14:textId="06263A2C" w:rsidR="002F0AB2" w:rsidRPr="007D3B5F" w:rsidRDefault="00160B9D" w:rsidP="00E658A8">
      <w:pPr>
        <w:jc w:val="both"/>
        <w:rPr>
          <w:sz w:val="24"/>
          <w:szCs w:val="24"/>
        </w:rPr>
      </w:pPr>
      <w:r w:rsidRPr="00C506EF">
        <w:rPr>
          <w:sz w:val="24"/>
          <w:szCs w:val="24"/>
        </w:rPr>
        <w:t xml:space="preserve">Against this backdrop, the SESAR-sponsored MAHALO (Modern ATM via Human-Automation Learning </w:t>
      </w:r>
      <w:proofErr w:type="spellStart"/>
      <w:r w:rsidRPr="00C506EF">
        <w:rPr>
          <w:sz w:val="24"/>
          <w:szCs w:val="24"/>
        </w:rPr>
        <w:t>Optimisation</w:t>
      </w:r>
      <w:proofErr w:type="spellEnd"/>
      <w:r w:rsidRPr="00C506EF">
        <w:rPr>
          <w:sz w:val="24"/>
          <w:szCs w:val="24"/>
        </w:rPr>
        <w:t xml:space="preserve">) project is exploring </w:t>
      </w:r>
      <w:r w:rsidR="008A5242" w:rsidRPr="00C506EF">
        <w:rPr>
          <w:sz w:val="24"/>
          <w:szCs w:val="24"/>
        </w:rPr>
        <w:t xml:space="preserve">a simple but </w:t>
      </w:r>
      <w:r w:rsidR="008A5242" w:rsidRPr="007D3B5F">
        <w:rPr>
          <w:sz w:val="24"/>
          <w:szCs w:val="24"/>
        </w:rPr>
        <w:t xml:space="preserve">profound question: in the emerging age of Machine Learning (ML), should we be developing AI that matches air traffic controller behavior (i.e., is strategically </w:t>
      </w:r>
      <w:r w:rsidR="008A5242" w:rsidRPr="007D3B5F">
        <w:rPr>
          <w:i/>
          <w:iCs/>
          <w:sz w:val="24"/>
          <w:szCs w:val="24"/>
        </w:rPr>
        <w:t>conformal</w:t>
      </w:r>
      <w:r w:rsidR="008A5242" w:rsidRPr="007D3B5F">
        <w:rPr>
          <w:sz w:val="24"/>
          <w:szCs w:val="24"/>
        </w:rPr>
        <w:t xml:space="preserve">), or AI that is understandable (i.e., </w:t>
      </w:r>
      <w:r w:rsidR="008A5242" w:rsidRPr="007D3B5F">
        <w:rPr>
          <w:i/>
          <w:iCs/>
          <w:sz w:val="24"/>
          <w:szCs w:val="24"/>
        </w:rPr>
        <w:t>transparent</w:t>
      </w:r>
      <w:r w:rsidR="008A5242" w:rsidRPr="007D3B5F">
        <w:rPr>
          <w:sz w:val="24"/>
          <w:szCs w:val="24"/>
        </w:rPr>
        <w:t>) to the controller</w:t>
      </w:r>
      <w:r w:rsidR="00C43CE5" w:rsidRPr="007D3B5F">
        <w:rPr>
          <w:sz w:val="24"/>
          <w:szCs w:val="24"/>
        </w:rPr>
        <w:t xml:space="preserve"> [1]?  </w:t>
      </w:r>
      <w:r w:rsidR="008A5242" w:rsidRPr="007D3B5F">
        <w:rPr>
          <w:sz w:val="24"/>
          <w:szCs w:val="24"/>
        </w:rPr>
        <w:t xml:space="preserve"> Further, what tradeoffs exist, in terms of controller trust, acceptance, and performance? </w:t>
      </w:r>
      <w:r w:rsidR="008F5E63" w:rsidRPr="007D3B5F">
        <w:rPr>
          <w:sz w:val="24"/>
          <w:szCs w:val="24"/>
        </w:rPr>
        <w:t>The</w:t>
      </w:r>
      <w:r w:rsidR="008A5242" w:rsidRPr="007D3B5F">
        <w:rPr>
          <w:sz w:val="24"/>
          <w:szCs w:val="24"/>
        </w:rPr>
        <w:t xml:space="preserve"> latter issue is currently receiving a great deal of research attention </w:t>
      </w:r>
      <w:r w:rsidR="008F5E63" w:rsidRPr="00C506EF">
        <w:rPr>
          <w:sz w:val="24"/>
          <w:szCs w:val="24"/>
        </w:rPr>
        <w:t xml:space="preserve">The growing Explainable Artificial Intelligence (XAI) movement recognizes that system transparency and understandability are key to the successful development of ‘third wave’ AI </w:t>
      </w:r>
      <w:r w:rsidR="00C43CE5" w:rsidRPr="00C506EF">
        <w:rPr>
          <w:sz w:val="24"/>
          <w:szCs w:val="24"/>
        </w:rPr>
        <w:t>[2]</w:t>
      </w:r>
      <w:r w:rsidR="008F5E63" w:rsidRPr="00C506EF">
        <w:rPr>
          <w:sz w:val="24"/>
          <w:szCs w:val="24"/>
        </w:rPr>
        <w:t xml:space="preserve">.  However, </w:t>
      </w:r>
      <w:r w:rsidR="008A5242" w:rsidRPr="007D3B5F">
        <w:rPr>
          <w:sz w:val="24"/>
          <w:szCs w:val="24"/>
        </w:rPr>
        <w:t xml:space="preserve">relatively little </w:t>
      </w:r>
      <w:r w:rsidR="008F5E63" w:rsidRPr="007D3B5F">
        <w:rPr>
          <w:sz w:val="24"/>
          <w:szCs w:val="24"/>
        </w:rPr>
        <w:t>attention has been paid to the issue of strategic conformance</w:t>
      </w:r>
      <w:r w:rsidR="008A5242" w:rsidRPr="007D3B5F">
        <w:rPr>
          <w:sz w:val="24"/>
          <w:szCs w:val="24"/>
        </w:rPr>
        <w:t xml:space="preserve">. </w:t>
      </w:r>
      <w:r w:rsidR="00022D8C" w:rsidRPr="007D3B5F">
        <w:rPr>
          <w:sz w:val="24"/>
          <w:szCs w:val="24"/>
        </w:rPr>
        <w:t>Figure 1 presents the hypothetical tradeoff between AI conformance and transparency.</w:t>
      </w:r>
    </w:p>
    <w:p w14:paraId="152EC0C3" w14:textId="77777777" w:rsidR="002F0AB2" w:rsidRDefault="002F0AB2" w:rsidP="00E658A8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435"/>
        <w:gridCol w:w="3544"/>
      </w:tblGrid>
      <w:tr w:rsidR="002F0AB2" w:rsidRPr="00212DB9" w14:paraId="205F6E59" w14:textId="77777777" w:rsidTr="00D363A9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EE5CB6" w14:textId="77777777" w:rsidR="002F0AB2" w:rsidRPr="00212DB9" w:rsidRDefault="002F0AB2" w:rsidP="00E658A8">
            <w:pPr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678716" w14:textId="77777777" w:rsidR="002F0AB2" w:rsidRPr="00212DB9" w:rsidRDefault="002F0AB2" w:rsidP="00E658A8">
            <w:pPr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979" w:type="dxa"/>
            <w:gridSpan w:val="2"/>
            <w:shd w:val="clear" w:color="auto" w:fill="D9D9D9" w:themeFill="background1" w:themeFillShade="D9"/>
            <w:vAlign w:val="center"/>
          </w:tcPr>
          <w:p w14:paraId="18B63016" w14:textId="77777777" w:rsidR="002F0AB2" w:rsidRPr="00E658A8" w:rsidRDefault="002F0AB2" w:rsidP="00E658A8">
            <w:pPr>
              <w:spacing w:before="40" w:after="40"/>
              <w:jc w:val="both"/>
              <w:rPr>
                <w:rFonts w:cs="Times New Roman"/>
                <w:b/>
                <w:sz w:val="20"/>
                <w:szCs w:val="18"/>
              </w:rPr>
            </w:pPr>
            <w:r w:rsidRPr="00E658A8">
              <w:rPr>
                <w:rFonts w:cs="Times New Roman"/>
                <w:b/>
                <w:sz w:val="20"/>
                <w:szCs w:val="18"/>
              </w:rPr>
              <w:t>TRANSPARENCY</w:t>
            </w:r>
          </w:p>
        </w:tc>
      </w:tr>
      <w:tr w:rsidR="002F0AB2" w:rsidRPr="00212DB9" w14:paraId="69245B80" w14:textId="77777777" w:rsidTr="00D363A9">
        <w:trPr>
          <w:jc w:val="center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90236" w14:textId="77777777" w:rsidR="002F0AB2" w:rsidRPr="00212DB9" w:rsidRDefault="002F0AB2" w:rsidP="00E658A8">
            <w:pPr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427675BC" w14:textId="77777777" w:rsidR="002F0AB2" w:rsidRPr="00212DB9" w:rsidRDefault="002F0AB2" w:rsidP="00E658A8">
            <w:pPr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558F75E7" w14:textId="77777777" w:rsidR="002F0AB2" w:rsidRPr="00E658A8" w:rsidRDefault="002F0AB2" w:rsidP="00E658A8">
            <w:pPr>
              <w:spacing w:before="40" w:after="40"/>
              <w:jc w:val="both"/>
              <w:rPr>
                <w:rFonts w:cs="Times New Roman"/>
                <w:sz w:val="20"/>
                <w:szCs w:val="18"/>
              </w:rPr>
            </w:pPr>
            <w:r w:rsidRPr="00E658A8">
              <w:rPr>
                <w:rFonts w:cs="Times New Roman"/>
                <w:sz w:val="20"/>
                <w:szCs w:val="18"/>
              </w:rPr>
              <w:t>Low</w:t>
            </w:r>
          </w:p>
        </w:tc>
        <w:tc>
          <w:tcPr>
            <w:tcW w:w="3544" w:type="dxa"/>
            <w:vAlign w:val="center"/>
          </w:tcPr>
          <w:p w14:paraId="7BAAF921" w14:textId="77777777" w:rsidR="002F0AB2" w:rsidRPr="00E658A8" w:rsidRDefault="002F0AB2" w:rsidP="00E658A8">
            <w:pPr>
              <w:spacing w:before="40" w:after="40"/>
              <w:jc w:val="both"/>
              <w:rPr>
                <w:rFonts w:cs="Times New Roman"/>
                <w:sz w:val="20"/>
                <w:szCs w:val="18"/>
              </w:rPr>
            </w:pPr>
            <w:r w:rsidRPr="00E658A8">
              <w:rPr>
                <w:rFonts w:cs="Times New Roman"/>
                <w:sz w:val="20"/>
                <w:szCs w:val="18"/>
              </w:rPr>
              <w:t>High</w:t>
            </w:r>
          </w:p>
        </w:tc>
      </w:tr>
      <w:tr w:rsidR="002F0AB2" w:rsidRPr="00212DB9" w14:paraId="233D2016" w14:textId="77777777" w:rsidTr="00D363A9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2D728B9" w14:textId="77777777" w:rsidR="002F0AB2" w:rsidRPr="00E658A8" w:rsidRDefault="002F0AB2" w:rsidP="00E658A8">
            <w:pPr>
              <w:spacing w:before="40" w:after="40"/>
              <w:jc w:val="both"/>
              <w:rPr>
                <w:rFonts w:cs="Times New Roman"/>
                <w:b/>
                <w:sz w:val="20"/>
                <w:szCs w:val="18"/>
              </w:rPr>
            </w:pPr>
            <w:r w:rsidRPr="00E658A8">
              <w:rPr>
                <w:rFonts w:cs="Times New Roman"/>
                <w:b/>
                <w:sz w:val="20"/>
                <w:szCs w:val="18"/>
              </w:rPr>
              <w:t>CONFORMANCE</w:t>
            </w:r>
          </w:p>
        </w:tc>
        <w:tc>
          <w:tcPr>
            <w:tcW w:w="426" w:type="dxa"/>
            <w:textDirection w:val="btLr"/>
          </w:tcPr>
          <w:p w14:paraId="03421847" w14:textId="77777777" w:rsidR="002F0AB2" w:rsidRPr="00E658A8" w:rsidRDefault="002F0AB2" w:rsidP="00E658A8">
            <w:pPr>
              <w:spacing w:before="40" w:after="40"/>
              <w:jc w:val="both"/>
              <w:rPr>
                <w:rFonts w:cs="Times New Roman"/>
                <w:sz w:val="20"/>
                <w:szCs w:val="18"/>
              </w:rPr>
            </w:pPr>
            <w:r w:rsidRPr="00E658A8">
              <w:rPr>
                <w:rFonts w:cs="Times New Roman"/>
                <w:sz w:val="20"/>
                <w:szCs w:val="18"/>
              </w:rPr>
              <w:t>Low</w:t>
            </w:r>
          </w:p>
        </w:tc>
        <w:tc>
          <w:tcPr>
            <w:tcW w:w="3435" w:type="dxa"/>
          </w:tcPr>
          <w:p w14:paraId="19AA11D2" w14:textId="397228E5" w:rsidR="002F0AB2" w:rsidRPr="00E658A8" w:rsidRDefault="002F0AB2" w:rsidP="00E658A8">
            <w:pPr>
              <w:spacing w:before="80" w:after="80"/>
              <w:jc w:val="both"/>
              <w:rPr>
                <w:rFonts w:cs="Times New Roman"/>
                <w:b/>
                <w:sz w:val="20"/>
                <w:szCs w:val="18"/>
              </w:rPr>
            </w:pPr>
            <w:r w:rsidRPr="00E658A8">
              <w:rPr>
                <w:rFonts w:cs="Times New Roman"/>
                <w:b/>
                <w:sz w:val="20"/>
                <w:szCs w:val="18"/>
              </w:rPr>
              <w:t xml:space="preserve">Stupid </w:t>
            </w:r>
            <w:r w:rsidR="00022D8C" w:rsidRPr="00E658A8">
              <w:rPr>
                <w:rFonts w:cs="Times New Roman"/>
                <w:b/>
                <w:sz w:val="20"/>
                <w:szCs w:val="18"/>
              </w:rPr>
              <w:t>AI</w:t>
            </w:r>
            <w:r w:rsidRPr="00E658A8">
              <w:rPr>
                <w:rFonts w:cs="Times New Roman"/>
                <w:b/>
                <w:sz w:val="20"/>
                <w:szCs w:val="18"/>
              </w:rPr>
              <w:t>:</w:t>
            </w:r>
          </w:p>
          <w:p w14:paraId="2C7A5758" w14:textId="77777777" w:rsidR="002F0AB2" w:rsidRPr="00E658A8" w:rsidRDefault="002F0AB2" w:rsidP="00E658A8">
            <w:pPr>
              <w:spacing w:before="80" w:after="80"/>
              <w:jc w:val="both"/>
              <w:rPr>
                <w:rFonts w:cs="Times New Roman"/>
                <w:i/>
                <w:sz w:val="20"/>
                <w:szCs w:val="18"/>
              </w:rPr>
            </w:pPr>
            <w:r w:rsidRPr="00E658A8">
              <w:rPr>
                <w:rFonts w:cs="Times New Roman"/>
                <w:i/>
                <w:sz w:val="20"/>
                <w:szCs w:val="18"/>
              </w:rPr>
              <w:t>“It’s doing a strange thing, and I don’t understand why…”</w:t>
            </w:r>
          </w:p>
        </w:tc>
        <w:tc>
          <w:tcPr>
            <w:tcW w:w="3544" w:type="dxa"/>
          </w:tcPr>
          <w:p w14:paraId="6C75A255" w14:textId="51D489B9" w:rsidR="002F0AB2" w:rsidRPr="00E658A8" w:rsidRDefault="002F0AB2" w:rsidP="00E658A8">
            <w:pPr>
              <w:spacing w:before="80" w:after="80"/>
              <w:jc w:val="both"/>
              <w:rPr>
                <w:rFonts w:cs="Times New Roman"/>
                <w:b/>
                <w:sz w:val="20"/>
                <w:szCs w:val="18"/>
              </w:rPr>
            </w:pPr>
            <w:r w:rsidRPr="00E658A8">
              <w:rPr>
                <w:rFonts w:cs="Times New Roman"/>
                <w:b/>
                <w:sz w:val="20"/>
                <w:szCs w:val="18"/>
              </w:rPr>
              <w:t xml:space="preserve">Peculiar </w:t>
            </w:r>
            <w:r w:rsidR="00022D8C" w:rsidRPr="00E658A8">
              <w:rPr>
                <w:rFonts w:cs="Times New Roman"/>
                <w:b/>
                <w:sz w:val="20"/>
                <w:szCs w:val="18"/>
              </w:rPr>
              <w:t>AI</w:t>
            </w:r>
            <w:r w:rsidRPr="00E658A8">
              <w:rPr>
                <w:rFonts w:cs="Times New Roman"/>
                <w:b/>
                <w:sz w:val="20"/>
                <w:szCs w:val="18"/>
              </w:rPr>
              <w:t>:</w:t>
            </w:r>
          </w:p>
          <w:p w14:paraId="77E18F23" w14:textId="77777777" w:rsidR="002F0AB2" w:rsidRPr="00E658A8" w:rsidRDefault="002F0AB2" w:rsidP="00E658A8">
            <w:pPr>
              <w:spacing w:before="80" w:after="80"/>
              <w:jc w:val="both"/>
              <w:rPr>
                <w:rFonts w:cs="Times New Roman"/>
                <w:i/>
                <w:sz w:val="20"/>
                <w:szCs w:val="18"/>
              </w:rPr>
            </w:pPr>
            <w:r w:rsidRPr="00E658A8">
              <w:rPr>
                <w:rFonts w:cs="Times New Roman"/>
                <w:i/>
                <w:sz w:val="20"/>
                <w:szCs w:val="18"/>
              </w:rPr>
              <w:t>“It’s doing a strange thing, but I understand why…”</w:t>
            </w:r>
          </w:p>
        </w:tc>
      </w:tr>
      <w:tr w:rsidR="002F0AB2" w:rsidRPr="00212DB9" w14:paraId="6EAB1757" w14:textId="77777777" w:rsidTr="00D363A9">
        <w:trPr>
          <w:jc w:val="center"/>
        </w:trPr>
        <w:tc>
          <w:tcPr>
            <w:tcW w:w="425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B04B4E5" w14:textId="77777777" w:rsidR="002F0AB2" w:rsidRPr="00E658A8" w:rsidRDefault="002F0AB2" w:rsidP="00E658A8">
            <w:pPr>
              <w:spacing w:before="40" w:after="40"/>
              <w:ind w:left="113" w:right="113"/>
              <w:jc w:val="both"/>
              <w:rPr>
                <w:rFonts w:ascii="Helvetica" w:hAnsi="Helvetica"/>
                <w:sz w:val="20"/>
                <w:szCs w:val="18"/>
              </w:rPr>
            </w:pPr>
          </w:p>
        </w:tc>
        <w:tc>
          <w:tcPr>
            <w:tcW w:w="426" w:type="dxa"/>
            <w:textDirection w:val="btLr"/>
          </w:tcPr>
          <w:p w14:paraId="7E9CAB46" w14:textId="77777777" w:rsidR="002F0AB2" w:rsidRPr="00E658A8" w:rsidRDefault="002F0AB2" w:rsidP="00E658A8">
            <w:pPr>
              <w:spacing w:before="40" w:after="40"/>
              <w:jc w:val="both"/>
              <w:rPr>
                <w:rFonts w:cs="Times New Roman"/>
                <w:sz w:val="20"/>
                <w:szCs w:val="18"/>
              </w:rPr>
            </w:pPr>
            <w:r w:rsidRPr="00E658A8">
              <w:rPr>
                <w:rFonts w:cs="Times New Roman"/>
                <w:sz w:val="20"/>
                <w:szCs w:val="18"/>
              </w:rPr>
              <w:t>High</w:t>
            </w:r>
          </w:p>
        </w:tc>
        <w:tc>
          <w:tcPr>
            <w:tcW w:w="3435" w:type="dxa"/>
          </w:tcPr>
          <w:p w14:paraId="5B63A6D2" w14:textId="1D5E13FE" w:rsidR="002F0AB2" w:rsidRPr="00E658A8" w:rsidRDefault="002F0AB2" w:rsidP="00E658A8">
            <w:pPr>
              <w:spacing w:before="80" w:after="80"/>
              <w:jc w:val="both"/>
              <w:rPr>
                <w:rFonts w:cs="Times New Roman"/>
                <w:b/>
                <w:sz w:val="20"/>
                <w:szCs w:val="18"/>
              </w:rPr>
            </w:pPr>
            <w:r w:rsidRPr="00E658A8">
              <w:rPr>
                <w:rFonts w:cs="Times New Roman"/>
                <w:b/>
                <w:sz w:val="20"/>
                <w:szCs w:val="18"/>
              </w:rPr>
              <w:t xml:space="preserve">Confusing </w:t>
            </w:r>
            <w:r w:rsidR="00022D8C" w:rsidRPr="00E658A8">
              <w:rPr>
                <w:rFonts w:cs="Times New Roman"/>
                <w:b/>
                <w:sz w:val="20"/>
                <w:szCs w:val="18"/>
              </w:rPr>
              <w:t>AI</w:t>
            </w:r>
            <w:r w:rsidRPr="00E658A8">
              <w:rPr>
                <w:rFonts w:cs="Times New Roman"/>
                <w:b/>
                <w:sz w:val="20"/>
                <w:szCs w:val="18"/>
              </w:rPr>
              <w:t>:</w:t>
            </w:r>
          </w:p>
          <w:p w14:paraId="1903B303" w14:textId="77777777" w:rsidR="002F0AB2" w:rsidRPr="00E658A8" w:rsidRDefault="002F0AB2" w:rsidP="00E658A8">
            <w:pPr>
              <w:spacing w:before="80" w:after="80"/>
              <w:jc w:val="both"/>
              <w:rPr>
                <w:rFonts w:cs="Times New Roman"/>
                <w:i/>
                <w:sz w:val="20"/>
                <w:szCs w:val="18"/>
              </w:rPr>
            </w:pPr>
            <w:r w:rsidRPr="00E658A8">
              <w:rPr>
                <w:rFonts w:cs="Times New Roman"/>
                <w:sz w:val="20"/>
                <w:szCs w:val="18"/>
              </w:rPr>
              <w:t xml:space="preserve"> </w:t>
            </w:r>
            <w:r w:rsidRPr="00E658A8">
              <w:rPr>
                <w:rFonts w:cs="Times New Roman"/>
                <w:i/>
                <w:sz w:val="20"/>
                <w:szCs w:val="18"/>
              </w:rPr>
              <w:t>“It’s doing the right thing, but I don’t understand why…”</w:t>
            </w:r>
          </w:p>
        </w:tc>
        <w:tc>
          <w:tcPr>
            <w:tcW w:w="3544" w:type="dxa"/>
          </w:tcPr>
          <w:p w14:paraId="3DF74312" w14:textId="6954E513" w:rsidR="002F0AB2" w:rsidRPr="00E658A8" w:rsidRDefault="002F0AB2" w:rsidP="00E658A8">
            <w:pPr>
              <w:spacing w:before="80" w:after="80"/>
              <w:jc w:val="both"/>
              <w:rPr>
                <w:rFonts w:cs="Times New Roman"/>
                <w:i/>
                <w:sz w:val="20"/>
                <w:szCs w:val="18"/>
              </w:rPr>
            </w:pPr>
            <w:r w:rsidRPr="00E658A8">
              <w:rPr>
                <w:rFonts w:cs="Times New Roman"/>
                <w:b/>
                <w:sz w:val="20"/>
                <w:szCs w:val="18"/>
              </w:rPr>
              <w:t xml:space="preserve">Perfect </w:t>
            </w:r>
            <w:r w:rsidR="00022D8C" w:rsidRPr="00E658A8">
              <w:rPr>
                <w:rFonts w:cs="Times New Roman"/>
                <w:b/>
                <w:sz w:val="20"/>
                <w:szCs w:val="18"/>
              </w:rPr>
              <w:t>AI</w:t>
            </w:r>
            <w:r w:rsidRPr="00E658A8">
              <w:rPr>
                <w:rFonts w:cs="Times New Roman"/>
                <w:b/>
                <w:sz w:val="20"/>
                <w:szCs w:val="18"/>
              </w:rPr>
              <w:t>:</w:t>
            </w:r>
          </w:p>
          <w:p w14:paraId="51D4E03B" w14:textId="77777777" w:rsidR="002F0AB2" w:rsidRPr="00E658A8" w:rsidRDefault="002F0AB2" w:rsidP="00E658A8">
            <w:pPr>
              <w:spacing w:before="80" w:after="80"/>
              <w:jc w:val="both"/>
              <w:rPr>
                <w:rFonts w:cs="Times New Roman"/>
                <w:i/>
                <w:sz w:val="20"/>
                <w:szCs w:val="18"/>
              </w:rPr>
            </w:pPr>
            <w:r w:rsidRPr="00E658A8">
              <w:rPr>
                <w:rFonts w:cs="Times New Roman"/>
                <w:i/>
                <w:sz w:val="20"/>
                <w:szCs w:val="18"/>
              </w:rPr>
              <w:t>“It’s doing the right thing, and I understand why…”</w:t>
            </w:r>
          </w:p>
        </w:tc>
      </w:tr>
    </w:tbl>
    <w:p w14:paraId="34A4B4A1" w14:textId="2DB26659" w:rsidR="002F0AB2" w:rsidRDefault="002F0AB2" w:rsidP="00E658A8">
      <w:pPr>
        <w:jc w:val="both"/>
        <w:rPr>
          <w:szCs w:val="24"/>
        </w:rPr>
      </w:pPr>
    </w:p>
    <w:p w14:paraId="569AC095" w14:textId="6319409D" w:rsidR="002F0AB2" w:rsidRPr="007D3B5F" w:rsidRDefault="002F0AB2" w:rsidP="00E658A8">
      <w:pPr>
        <w:jc w:val="both"/>
        <w:rPr>
          <w:b/>
          <w:bCs/>
          <w:lang w:val="it-IT"/>
        </w:rPr>
      </w:pPr>
      <w:r w:rsidRPr="007D3B5F">
        <w:rPr>
          <w:b/>
          <w:bCs/>
          <w:lang w:val="it-IT"/>
        </w:rPr>
        <w:t>Figure 1. AI conformance vs transparency.</w:t>
      </w:r>
    </w:p>
    <w:p w14:paraId="40026DF6" w14:textId="1DADCB1B" w:rsidR="009B6498" w:rsidRPr="00E658A8" w:rsidRDefault="009B6498" w:rsidP="00E658A8">
      <w:pPr>
        <w:jc w:val="both"/>
        <w:rPr>
          <w:bCs/>
        </w:rPr>
      </w:pPr>
      <w:r w:rsidRPr="00E658A8">
        <w:t xml:space="preserve">MAHALO set out </w:t>
      </w:r>
      <w:r w:rsidRPr="00E658A8">
        <w:rPr>
          <w:bCs/>
        </w:rPr>
        <w:t xml:space="preserve">to assess how strategic conformance and transparency of a machine learning decision support system for conflict detection and resolution affect air traffic controllers’ understanding, trust, acceptance, and workload of its advice and performance in solving conflicts, and </w:t>
      </w:r>
      <w:r w:rsidR="00C506EF">
        <w:rPr>
          <w:bCs/>
        </w:rPr>
        <w:t xml:space="preserve">how </w:t>
      </w:r>
      <w:r w:rsidRPr="00E658A8">
        <w:rPr>
          <w:bCs/>
        </w:rPr>
        <w:t>these factors (conformance and transparency) interact.</w:t>
      </w:r>
    </w:p>
    <w:p w14:paraId="0C2B4419" w14:textId="77777777" w:rsidR="002F0AB2" w:rsidRPr="00E658A8" w:rsidRDefault="002F0AB2" w:rsidP="00E658A8">
      <w:pPr>
        <w:jc w:val="both"/>
      </w:pPr>
      <w:r w:rsidRPr="00E658A8">
        <w:t>To answer these questions, the MAHALO project has:</w:t>
      </w:r>
    </w:p>
    <w:p w14:paraId="538DAFC3" w14:textId="5461151B" w:rsidR="007D3B5F" w:rsidRDefault="002F0AB2" w:rsidP="00E658A8">
      <w:pPr>
        <w:widowControl w:val="0"/>
        <w:numPr>
          <w:ilvl w:val="0"/>
          <w:numId w:val="3"/>
        </w:numPr>
        <w:tabs>
          <w:tab w:val="left" w:pos="720"/>
        </w:tabs>
        <w:spacing w:before="120" w:after="0" w:line="240" w:lineRule="auto"/>
        <w:ind w:left="720"/>
        <w:jc w:val="both"/>
      </w:pPr>
      <w:r w:rsidRPr="00E658A8">
        <w:lastRenderedPageBreak/>
        <w:t xml:space="preserve">Developed </w:t>
      </w:r>
      <w:r w:rsidR="008A5242" w:rsidRPr="00E658A8">
        <w:t xml:space="preserve">an individually-tuned hybrid ML system comprised of </w:t>
      </w:r>
      <w:r w:rsidR="002D1585" w:rsidRPr="00E658A8">
        <w:t xml:space="preserve">Supervised Learning (based on a deep learning neural network approach) and </w:t>
      </w:r>
      <w:r w:rsidR="00C506EF">
        <w:t xml:space="preserve">a </w:t>
      </w:r>
      <w:r w:rsidR="002D1585" w:rsidRPr="00E658A8">
        <w:t xml:space="preserve">Reinforcement Learning (based on </w:t>
      </w:r>
      <w:r w:rsidR="00C506EF">
        <w:t>Deep Q-Learning from Demonstrations</w:t>
      </w:r>
      <w:r w:rsidR="002D1585" w:rsidRPr="00E658A8">
        <w:t xml:space="preserve">, </w:t>
      </w:r>
      <w:proofErr w:type="spellStart"/>
      <w:r w:rsidR="00C506EF">
        <w:t>DQfD</w:t>
      </w:r>
      <w:proofErr w:type="spellEnd"/>
      <w:r w:rsidR="002D1585" w:rsidRPr="00E658A8">
        <w:t xml:space="preserve"> approach) models to process conflict detection- and resolution tasks, respectively</w:t>
      </w:r>
      <w:r w:rsidR="00C90F54">
        <w:t xml:space="preserve">. </w:t>
      </w:r>
      <w:r w:rsidR="007D3B5F">
        <w:t>P</w:t>
      </w:r>
      <w:r w:rsidR="00C90F54">
        <w:t>re-test dat</w:t>
      </w:r>
      <w:r w:rsidR="00C347ED">
        <w:t>a</w:t>
      </w:r>
      <w:r w:rsidR="00C90F54">
        <w:t xml:space="preserve"> were used to create personalized solutions, based on </w:t>
      </w:r>
      <w:r w:rsidR="00C347ED">
        <w:t>Supervised Learning</w:t>
      </w:r>
      <w:r w:rsidR="007D3B5F">
        <w:t>;</w:t>
      </w:r>
    </w:p>
    <w:p w14:paraId="1703BA58" w14:textId="7C0E8714" w:rsidR="008A5242" w:rsidRPr="00E658A8" w:rsidRDefault="007D3B5F" w:rsidP="00E658A8">
      <w:pPr>
        <w:widowControl w:val="0"/>
        <w:numPr>
          <w:ilvl w:val="0"/>
          <w:numId w:val="3"/>
        </w:numPr>
        <w:tabs>
          <w:tab w:val="left" w:pos="720"/>
        </w:tabs>
        <w:spacing w:before="120" w:after="0" w:line="240" w:lineRule="auto"/>
        <w:ind w:left="720"/>
        <w:jc w:val="both"/>
      </w:pPr>
      <w:r>
        <w:t>Co</w:t>
      </w:r>
      <w:r w:rsidR="008A5242" w:rsidRPr="00E658A8">
        <w:t>uple</w:t>
      </w:r>
      <w:r w:rsidR="002F0AB2" w:rsidRPr="00E658A8">
        <w:t>d</w:t>
      </w:r>
      <w:r w:rsidR="008A5242" w:rsidRPr="00E658A8">
        <w:t xml:space="preserve"> this to an enhanced enroute CD&amp;R prototype display to present machine rationale with regards to ML output;</w:t>
      </w:r>
    </w:p>
    <w:p w14:paraId="65C68D71" w14:textId="1088FB35" w:rsidR="008A5242" w:rsidRPr="00E658A8" w:rsidRDefault="002F0AB2" w:rsidP="00E658A8">
      <w:pPr>
        <w:widowControl w:val="0"/>
        <w:numPr>
          <w:ilvl w:val="0"/>
          <w:numId w:val="3"/>
        </w:numPr>
        <w:tabs>
          <w:tab w:val="left" w:pos="720"/>
        </w:tabs>
        <w:spacing w:before="120" w:after="0" w:line="240" w:lineRule="auto"/>
        <w:ind w:left="720"/>
        <w:jc w:val="both"/>
      </w:pPr>
      <w:r w:rsidRPr="00E658A8">
        <w:t xml:space="preserve">Conducted </w:t>
      </w:r>
      <w:r w:rsidR="006D66D3">
        <w:t>control-in-the-loop</w:t>
      </w:r>
      <w:r w:rsidRPr="00E658A8">
        <w:t xml:space="preserve"> simulations to assess </w:t>
      </w:r>
      <w:r w:rsidR="008A5242" w:rsidRPr="00E658A8">
        <w:t xml:space="preserve">the relative impact of ML </w:t>
      </w:r>
      <w:r w:rsidR="008A5242" w:rsidRPr="00E658A8">
        <w:rPr>
          <w:i/>
        </w:rPr>
        <w:t xml:space="preserve">conformance, transparency, </w:t>
      </w:r>
      <w:r w:rsidR="008A5242" w:rsidRPr="00E658A8">
        <w:t>and</w:t>
      </w:r>
      <w:r w:rsidR="008A5242" w:rsidRPr="00E658A8">
        <w:rPr>
          <w:i/>
        </w:rPr>
        <w:t xml:space="preserve"> </w:t>
      </w:r>
      <w:r w:rsidR="008A5242" w:rsidRPr="00E658A8">
        <w:t xml:space="preserve">traffic </w:t>
      </w:r>
      <w:r w:rsidR="008A5242" w:rsidRPr="00E658A8">
        <w:rPr>
          <w:i/>
        </w:rPr>
        <w:t>complexity</w:t>
      </w:r>
      <w:r w:rsidR="008A5242" w:rsidRPr="00E658A8">
        <w:t>, on controller understanding, trust, acceptance, workload, and performance</w:t>
      </w:r>
      <w:r w:rsidRPr="00E658A8">
        <w:t>.</w:t>
      </w:r>
    </w:p>
    <w:p w14:paraId="6C1DDCDB" w14:textId="77777777" w:rsidR="008A5242" w:rsidRPr="00E658A8" w:rsidRDefault="008A5242" w:rsidP="00E658A8">
      <w:pPr>
        <w:jc w:val="both"/>
      </w:pPr>
    </w:p>
    <w:p w14:paraId="7AE8214A" w14:textId="1D8EDFD8" w:rsidR="00131B50" w:rsidRPr="00E658A8" w:rsidRDefault="00022D8C" w:rsidP="00E658A8">
      <w:pPr>
        <w:jc w:val="both"/>
        <w:rPr>
          <w:b/>
          <w:bCs/>
        </w:rPr>
      </w:pPr>
      <w:r w:rsidRPr="00E658A8">
        <w:rPr>
          <w:b/>
          <w:bCs/>
        </w:rPr>
        <w:t>Methods</w:t>
      </w:r>
    </w:p>
    <w:p w14:paraId="3556EE3B" w14:textId="02A2486E" w:rsidR="009B6498" w:rsidRPr="00E658A8" w:rsidRDefault="007D3B5F" w:rsidP="00E658A8">
      <w:pPr>
        <w:ind w:right="-64"/>
        <w:jc w:val="both"/>
        <w:rPr>
          <w:bCs/>
        </w:rPr>
      </w:pPr>
      <w:r>
        <w:rPr>
          <w:bCs/>
        </w:rPr>
        <w:t>Two c</w:t>
      </w:r>
      <w:r w:rsidR="009B6498" w:rsidRPr="00E658A8">
        <w:rPr>
          <w:bCs/>
        </w:rPr>
        <w:t xml:space="preserve">ontroller-in-the-loop simulations </w:t>
      </w:r>
      <w:r w:rsidR="00AC5E71" w:rsidRPr="00E658A8">
        <w:rPr>
          <w:bCs/>
        </w:rPr>
        <w:t>were</w:t>
      </w:r>
      <w:r w:rsidR="009B6498" w:rsidRPr="00E658A8">
        <w:rPr>
          <w:bCs/>
        </w:rPr>
        <w:t xml:space="preserve"> conducted in Dec 2021</w:t>
      </w:r>
      <w:r>
        <w:rPr>
          <w:bCs/>
        </w:rPr>
        <w:t xml:space="preserve"> / Jan 2022</w:t>
      </w:r>
      <w:r w:rsidR="009B6498" w:rsidRPr="00E658A8">
        <w:rPr>
          <w:bCs/>
        </w:rPr>
        <w:t xml:space="preserve"> (n=20) and Mar</w:t>
      </w:r>
      <w:r>
        <w:rPr>
          <w:bCs/>
        </w:rPr>
        <w:t>-Apr 2</w:t>
      </w:r>
      <w:r w:rsidR="009B6498" w:rsidRPr="00E658A8">
        <w:rPr>
          <w:bCs/>
        </w:rPr>
        <w:t xml:space="preserve">022 (n=16). Each </w:t>
      </w:r>
      <w:r w:rsidR="00AC5E71" w:rsidRPr="00E658A8">
        <w:rPr>
          <w:bCs/>
        </w:rPr>
        <w:t xml:space="preserve">of these two </w:t>
      </w:r>
      <w:r w:rsidR="009B6498" w:rsidRPr="00E658A8">
        <w:rPr>
          <w:bCs/>
        </w:rPr>
        <w:t>simulation</w:t>
      </w:r>
      <w:r w:rsidR="00AC5E71" w:rsidRPr="00E658A8">
        <w:rPr>
          <w:bCs/>
        </w:rPr>
        <w:t>s</w:t>
      </w:r>
      <w:r w:rsidR="009B6498" w:rsidRPr="00E658A8">
        <w:rPr>
          <w:bCs/>
        </w:rPr>
        <w:t xml:space="preserve"> consisted of a </w:t>
      </w:r>
      <w:r w:rsidR="009B6498" w:rsidRPr="00E658A8">
        <w:rPr>
          <w:bCs/>
          <w:i/>
          <w:iCs/>
        </w:rPr>
        <w:t>Conformance Pre-Test</w:t>
      </w:r>
      <w:r w:rsidR="009B6498" w:rsidRPr="00E658A8">
        <w:rPr>
          <w:bCs/>
        </w:rPr>
        <w:t xml:space="preserve"> and a follow-up </w:t>
      </w:r>
      <w:r w:rsidR="009B6498" w:rsidRPr="00E658A8">
        <w:rPr>
          <w:bCs/>
          <w:i/>
          <w:iCs/>
        </w:rPr>
        <w:t>Main Experiment.</w:t>
      </w:r>
      <w:r w:rsidR="00D911BE" w:rsidRPr="00E658A8">
        <w:rPr>
          <w:bCs/>
          <w:i/>
          <w:iCs/>
        </w:rPr>
        <w:t xml:space="preserve"> </w:t>
      </w:r>
      <w:r w:rsidR="00D911BE" w:rsidRPr="00E658A8">
        <w:rPr>
          <w:bCs/>
        </w:rPr>
        <w:t>In the former, controllers actively managed a series of short air traffic scenarios. Conflict scenarios and controller responses / resolutions were captured, and used to train the ML system, which was then active in the follow-up Main Experiment phase, as described below.</w:t>
      </w:r>
    </w:p>
    <w:p w14:paraId="3DA62E2B" w14:textId="546B1264" w:rsidR="00D911BE" w:rsidRPr="00E658A8" w:rsidRDefault="00D911BE" w:rsidP="00E658A8">
      <w:pPr>
        <w:ind w:right="-64"/>
        <w:jc w:val="both"/>
        <w:rPr>
          <w:bCs/>
        </w:rPr>
      </w:pPr>
      <w:r w:rsidRPr="00E658A8">
        <w:rPr>
          <w:bCs/>
        </w:rPr>
        <w:t>In the Main Experiment, two independent variables were varied within controllers, as follows:</w:t>
      </w:r>
    </w:p>
    <w:p w14:paraId="490F43B4" w14:textId="26C148AD" w:rsidR="00D911BE" w:rsidRPr="00E658A8" w:rsidRDefault="00D911BE" w:rsidP="00E658A8">
      <w:pPr>
        <w:ind w:right="-64"/>
        <w:jc w:val="both"/>
        <w:rPr>
          <w:bCs/>
        </w:rPr>
      </w:pPr>
      <w:r w:rsidRPr="00E658A8">
        <w:rPr>
          <w:bCs/>
          <w:u w:val="single"/>
        </w:rPr>
        <w:t>Conformance</w:t>
      </w:r>
      <w:r w:rsidRPr="00E658A8">
        <w:rPr>
          <w:bCs/>
        </w:rPr>
        <w:t>—</w:t>
      </w:r>
      <w:r w:rsidR="00503354" w:rsidRPr="00E658A8">
        <w:rPr>
          <w:bCs/>
        </w:rPr>
        <w:t xml:space="preserve"> was defined as </w:t>
      </w:r>
      <w:r w:rsidRPr="00E658A8">
        <w:rPr>
          <w:bCs/>
        </w:rPr>
        <w:t>the match between individual and ML advisories. Th</w:t>
      </w:r>
      <w:r w:rsidR="00503354" w:rsidRPr="00E658A8">
        <w:rPr>
          <w:bCs/>
        </w:rPr>
        <w:t>e th</w:t>
      </w:r>
      <w:r w:rsidRPr="00E658A8">
        <w:rPr>
          <w:bCs/>
        </w:rPr>
        <w:t xml:space="preserve">ree levels of conformance were: (a) </w:t>
      </w:r>
      <w:r w:rsidRPr="00E658A8">
        <w:rPr>
          <w:bCs/>
          <w:i/>
          <w:iCs/>
        </w:rPr>
        <w:t>Individual</w:t>
      </w:r>
      <w:r w:rsidRPr="00E658A8">
        <w:rPr>
          <w:bCs/>
        </w:rPr>
        <w:t xml:space="preserve"> (i.e., an exact replay of that controller’s pre-test solution, made unrecognizable through heading and callsign changes); (b) </w:t>
      </w:r>
      <w:r w:rsidRPr="00E658A8">
        <w:rPr>
          <w:bCs/>
          <w:i/>
          <w:iCs/>
        </w:rPr>
        <w:t>Group average</w:t>
      </w:r>
      <w:r w:rsidRPr="00E658A8">
        <w:rPr>
          <w:bCs/>
        </w:rPr>
        <w:t xml:space="preserve"> (in which the ML system was trained on data from the entire group of controllers, and (c</w:t>
      </w:r>
      <w:r w:rsidRPr="00E658A8">
        <w:rPr>
          <w:bCs/>
          <w:i/>
          <w:iCs/>
        </w:rPr>
        <w:t>) Optimal</w:t>
      </w:r>
      <w:r w:rsidRPr="00E658A8">
        <w:rPr>
          <w:bCs/>
        </w:rPr>
        <w:t xml:space="preserve"> (in which the RL system presented an optimized solution, per a reward function and set of optimization rules).</w:t>
      </w:r>
    </w:p>
    <w:p w14:paraId="49E5293B" w14:textId="2AFDD460" w:rsidR="009B6498" w:rsidRPr="00E658A8" w:rsidRDefault="00D911BE" w:rsidP="00E658A8">
      <w:pPr>
        <w:ind w:right="-64"/>
        <w:jc w:val="both"/>
        <w:rPr>
          <w:bCs/>
        </w:rPr>
      </w:pPr>
      <w:r w:rsidRPr="00E658A8">
        <w:rPr>
          <w:bCs/>
          <w:u w:val="single"/>
        </w:rPr>
        <w:t>Transparency</w:t>
      </w:r>
      <w:r w:rsidR="00503354" w:rsidRPr="00E658A8">
        <w:rPr>
          <w:bCs/>
        </w:rPr>
        <w:t xml:space="preserve">— was defined as the degree to which the system explains its underlying rationale. The three levels of transparency were: (a) </w:t>
      </w:r>
      <w:r w:rsidR="00503354" w:rsidRPr="007D3B5F">
        <w:rPr>
          <w:bCs/>
          <w:i/>
          <w:iCs/>
        </w:rPr>
        <w:t>Baseline</w:t>
      </w:r>
      <w:r w:rsidR="00503354" w:rsidRPr="00E658A8">
        <w:rPr>
          <w:bCs/>
        </w:rPr>
        <w:t xml:space="preserve">, in which system-generated solutions were presented with a resolution heading vector, but no further information; (b) </w:t>
      </w:r>
      <w:r w:rsidR="00503354" w:rsidRPr="007D3B5F">
        <w:rPr>
          <w:bCs/>
          <w:i/>
          <w:iCs/>
        </w:rPr>
        <w:t>Domain transparency</w:t>
      </w:r>
      <w:r w:rsidR="00503354" w:rsidRPr="00E658A8">
        <w:rPr>
          <w:bCs/>
        </w:rPr>
        <w:t xml:space="preserve">, in which ‘NO-GO” polygons depicted flightpath constraints, based on proximate aircraft; and (c) </w:t>
      </w:r>
      <w:r w:rsidR="00503354" w:rsidRPr="007D3B5F">
        <w:rPr>
          <w:bCs/>
          <w:i/>
          <w:iCs/>
        </w:rPr>
        <w:t>Agent transparency</w:t>
      </w:r>
      <w:r w:rsidR="00503354" w:rsidRPr="00E658A8">
        <w:rPr>
          <w:bCs/>
        </w:rPr>
        <w:t>, in which</w:t>
      </w:r>
      <w:r w:rsidR="002714BD" w:rsidRPr="00E658A8">
        <w:rPr>
          <w:bCs/>
        </w:rPr>
        <w:t xml:space="preserve"> </w:t>
      </w:r>
      <w:r w:rsidR="007D3B5F">
        <w:rPr>
          <w:bCs/>
        </w:rPr>
        <w:t xml:space="preserve">additional </w:t>
      </w:r>
      <w:r w:rsidR="002714BD" w:rsidRPr="00E658A8">
        <w:rPr>
          <w:bCs/>
        </w:rPr>
        <w:t>text messages presented the rationale for the solution. The three levels of transparency a</w:t>
      </w:r>
      <w:r w:rsidR="0000130D">
        <w:rPr>
          <w:bCs/>
        </w:rPr>
        <w:t>re</w:t>
      </w:r>
      <w:r w:rsidR="002714BD" w:rsidRPr="00E658A8">
        <w:rPr>
          <w:bCs/>
        </w:rPr>
        <w:t xml:space="preserve"> shown in </w:t>
      </w:r>
      <w:r w:rsidR="0000130D">
        <w:rPr>
          <w:bCs/>
        </w:rPr>
        <w:t>F</w:t>
      </w:r>
      <w:r w:rsidR="002714BD" w:rsidRPr="00E658A8">
        <w:rPr>
          <w:bCs/>
        </w:rPr>
        <w:t>igure 2.</w:t>
      </w:r>
    </w:p>
    <w:p w14:paraId="28965BD5" w14:textId="4C68DD34" w:rsidR="002714BD" w:rsidRPr="00E658A8" w:rsidRDefault="0016531F" w:rsidP="00E658A8">
      <w:pPr>
        <w:ind w:right="790"/>
        <w:jc w:val="both"/>
        <w:rPr>
          <w:bCs/>
        </w:rPr>
      </w:pPr>
      <w:r>
        <w:rPr>
          <w:bCs/>
          <w:noProof/>
        </w:rPr>
        <w:drawing>
          <wp:inline distT="0" distB="0" distL="0" distR="0" wp14:anchorId="6DFAF73E" wp14:editId="5041F6EC">
            <wp:extent cx="5471763" cy="277552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5"/>
                    <a:stretch/>
                  </pic:blipFill>
                  <pic:spPr bwMode="auto">
                    <a:xfrm>
                      <a:off x="0" y="0"/>
                      <a:ext cx="5494763" cy="278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03EBE" w14:textId="2E28C225" w:rsidR="002714BD" w:rsidRPr="00E658A8" w:rsidRDefault="002714BD" w:rsidP="00E658A8">
      <w:pPr>
        <w:ind w:right="790"/>
        <w:jc w:val="both"/>
        <w:rPr>
          <w:b/>
        </w:rPr>
      </w:pPr>
      <w:r w:rsidRPr="00E658A8">
        <w:rPr>
          <w:b/>
        </w:rPr>
        <w:t>Figure 2. Three levels of transparency.</w:t>
      </w:r>
    </w:p>
    <w:p w14:paraId="6CACBEC2" w14:textId="5E1719EE" w:rsidR="002714BD" w:rsidRPr="00E658A8" w:rsidRDefault="002714BD" w:rsidP="00E658A8">
      <w:pPr>
        <w:tabs>
          <w:tab w:val="left" w:pos="8956"/>
        </w:tabs>
        <w:ind w:right="790"/>
        <w:jc w:val="both"/>
        <w:rPr>
          <w:bCs/>
        </w:rPr>
      </w:pPr>
      <w:r w:rsidRPr="00E658A8">
        <w:rPr>
          <w:bCs/>
        </w:rPr>
        <w:lastRenderedPageBreak/>
        <w:t>In the main experiment, the following dependent variables were collected</w:t>
      </w:r>
      <w:r w:rsidR="002B2701" w:rsidRPr="00E658A8">
        <w:rPr>
          <w:bCs/>
        </w:rPr>
        <w:t xml:space="preserve"> or derived</w:t>
      </w:r>
      <w:r w:rsidRPr="00E658A8">
        <w:rPr>
          <w:bCs/>
        </w:rPr>
        <w:t>:</w:t>
      </w:r>
    </w:p>
    <w:p w14:paraId="4BC831C0" w14:textId="414A81F6" w:rsidR="002714BD" w:rsidRPr="00E658A8" w:rsidRDefault="002714BD" w:rsidP="00E658A8">
      <w:pPr>
        <w:pStyle w:val="ListParagraph"/>
        <w:numPr>
          <w:ilvl w:val="0"/>
          <w:numId w:val="6"/>
        </w:numPr>
        <w:ind w:right="206"/>
        <w:jc w:val="both"/>
        <w:rPr>
          <w:bCs/>
        </w:rPr>
      </w:pPr>
      <w:r w:rsidRPr="00E658A8">
        <w:rPr>
          <w:bCs/>
          <w:u w:val="single"/>
        </w:rPr>
        <w:t>Acceptance</w:t>
      </w:r>
      <w:r w:rsidR="002B2701" w:rsidRPr="00E658A8">
        <w:rPr>
          <w:bCs/>
          <w:u w:val="single"/>
        </w:rPr>
        <w:t xml:space="preserve"> rate</w:t>
      </w:r>
      <w:r w:rsidRPr="00E658A8">
        <w:rPr>
          <w:bCs/>
        </w:rPr>
        <w:t xml:space="preserve"> – controllers were free to accept, modify, or reject and replace any given </w:t>
      </w:r>
      <w:r w:rsidR="002B2701" w:rsidRPr="00E658A8">
        <w:rPr>
          <w:bCs/>
        </w:rPr>
        <w:t xml:space="preserve">advisory. Data from simulation 1 indicate that outright rejection was rare. Acceptance was categorized as </w:t>
      </w:r>
      <w:r w:rsidR="002B2701" w:rsidRPr="00E658A8">
        <w:rPr>
          <w:bCs/>
          <w:i/>
          <w:iCs/>
        </w:rPr>
        <w:t>accept</w:t>
      </w:r>
      <w:r w:rsidR="002B2701" w:rsidRPr="00E658A8">
        <w:rPr>
          <w:bCs/>
        </w:rPr>
        <w:t xml:space="preserve">, </w:t>
      </w:r>
      <w:r w:rsidR="002B2701" w:rsidRPr="00E658A8">
        <w:rPr>
          <w:bCs/>
          <w:i/>
          <w:iCs/>
        </w:rPr>
        <w:t>nudge</w:t>
      </w:r>
      <w:r w:rsidR="002B2701" w:rsidRPr="00E658A8">
        <w:rPr>
          <w:bCs/>
        </w:rPr>
        <w:t xml:space="preserve"> (</w:t>
      </w:r>
      <w:r w:rsidR="007D3B5F">
        <w:rPr>
          <w:bCs/>
        </w:rPr>
        <w:t xml:space="preserve">i.e., a </w:t>
      </w:r>
      <w:r w:rsidR="002B2701" w:rsidRPr="00E658A8">
        <w:rPr>
          <w:bCs/>
        </w:rPr>
        <w:t xml:space="preserve">slight change in heading value), or </w:t>
      </w:r>
      <w:r w:rsidR="002B2701" w:rsidRPr="00E658A8">
        <w:rPr>
          <w:bCs/>
          <w:i/>
          <w:iCs/>
        </w:rPr>
        <w:t>adjust</w:t>
      </w:r>
      <w:r w:rsidR="002B2701" w:rsidRPr="00E658A8">
        <w:rPr>
          <w:bCs/>
        </w:rPr>
        <w:t xml:space="preserve"> (a change in value and direction).</w:t>
      </w:r>
    </w:p>
    <w:p w14:paraId="07E027DE" w14:textId="2CE6A835" w:rsidR="002B2701" w:rsidRPr="00E658A8" w:rsidRDefault="002B2701" w:rsidP="00E658A8">
      <w:pPr>
        <w:pStyle w:val="ListParagraph"/>
        <w:numPr>
          <w:ilvl w:val="0"/>
          <w:numId w:val="6"/>
        </w:numPr>
        <w:tabs>
          <w:tab w:val="left" w:pos="8956"/>
        </w:tabs>
        <w:ind w:right="206"/>
        <w:jc w:val="both"/>
        <w:rPr>
          <w:bCs/>
        </w:rPr>
      </w:pPr>
      <w:r w:rsidRPr="00E658A8">
        <w:rPr>
          <w:bCs/>
          <w:u w:val="single"/>
        </w:rPr>
        <w:t>Agreement</w:t>
      </w:r>
      <w:r w:rsidRPr="00E658A8">
        <w:rPr>
          <w:bCs/>
        </w:rPr>
        <w:t>—a subjective measure of agreement, once per advisory. Notice that this can, and often does, differ from acceptance (e.g. time pressure might force one to accept a solution for which agreement is low);</w:t>
      </w:r>
    </w:p>
    <w:p w14:paraId="27CFD425" w14:textId="6CDEEE91" w:rsidR="002B2701" w:rsidRPr="00E658A8" w:rsidRDefault="002B2701" w:rsidP="00E658A8">
      <w:pPr>
        <w:pStyle w:val="ListParagraph"/>
        <w:numPr>
          <w:ilvl w:val="0"/>
          <w:numId w:val="6"/>
        </w:numPr>
        <w:tabs>
          <w:tab w:val="left" w:pos="8956"/>
        </w:tabs>
        <w:ind w:right="206"/>
        <w:jc w:val="both"/>
        <w:rPr>
          <w:bCs/>
        </w:rPr>
      </w:pPr>
      <w:r w:rsidRPr="00E658A8">
        <w:rPr>
          <w:bCs/>
          <w:u w:val="single"/>
        </w:rPr>
        <w:t>Solution bias</w:t>
      </w:r>
      <w:r w:rsidRPr="00E658A8">
        <w:rPr>
          <w:bCs/>
        </w:rPr>
        <w:t>—the tendency to adopt a more liberal / conservative trajectory (i.e., a smaller / larger closest point of approach (CPA)) could be captured as a bias in solution strategies.</w:t>
      </w:r>
    </w:p>
    <w:p w14:paraId="3F733107" w14:textId="1567FF9C" w:rsidR="002B2701" w:rsidRPr="00E658A8" w:rsidRDefault="002B2701" w:rsidP="00E658A8">
      <w:pPr>
        <w:pStyle w:val="ListParagraph"/>
        <w:numPr>
          <w:ilvl w:val="0"/>
          <w:numId w:val="6"/>
        </w:numPr>
        <w:tabs>
          <w:tab w:val="left" w:pos="8956"/>
        </w:tabs>
        <w:ind w:right="206"/>
        <w:jc w:val="both"/>
        <w:rPr>
          <w:bCs/>
        </w:rPr>
      </w:pPr>
      <w:r w:rsidRPr="00E658A8">
        <w:rPr>
          <w:bCs/>
          <w:u w:val="single"/>
        </w:rPr>
        <w:t>Subjective workload</w:t>
      </w:r>
      <w:r w:rsidRPr="00E658A8">
        <w:rPr>
          <w:bCs/>
        </w:rPr>
        <w:t>—rated onscreen at the end of each scenario;</w:t>
      </w:r>
    </w:p>
    <w:p w14:paraId="179816C7" w14:textId="77777777" w:rsidR="002B2701" w:rsidRPr="00E658A8" w:rsidRDefault="002B2701" w:rsidP="00E658A8">
      <w:pPr>
        <w:pStyle w:val="ListParagraph"/>
        <w:numPr>
          <w:ilvl w:val="0"/>
          <w:numId w:val="6"/>
        </w:numPr>
        <w:tabs>
          <w:tab w:val="left" w:pos="8956"/>
        </w:tabs>
        <w:ind w:right="206"/>
        <w:jc w:val="both"/>
        <w:rPr>
          <w:bCs/>
        </w:rPr>
      </w:pPr>
      <w:r w:rsidRPr="00E658A8">
        <w:rPr>
          <w:bCs/>
          <w:u w:val="single"/>
        </w:rPr>
        <w:t>Subjective understanding</w:t>
      </w:r>
      <w:r w:rsidRPr="00E658A8">
        <w:rPr>
          <w:bCs/>
        </w:rPr>
        <w:t>—at the end of each scenario</w:t>
      </w:r>
    </w:p>
    <w:p w14:paraId="51C5D305" w14:textId="40AE90A8" w:rsidR="002B2701" w:rsidRPr="00E658A8" w:rsidRDefault="002B2701" w:rsidP="00E658A8">
      <w:pPr>
        <w:pStyle w:val="ListParagraph"/>
        <w:numPr>
          <w:ilvl w:val="0"/>
          <w:numId w:val="6"/>
        </w:numPr>
        <w:tabs>
          <w:tab w:val="left" w:pos="8956"/>
        </w:tabs>
        <w:ind w:right="206"/>
        <w:jc w:val="both"/>
        <w:rPr>
          <w:bCs/>
        </w:rPr>
      </w:pPr>
      <w:r w:rsidRPr="00E658A8">
        <w:rPr>
          <w:bCs/>
          <w:u w:val="single"/>
        </w:rPr>
        <w:t>Response times</w:t>
      </w:r>
      <w:r w:rsidRPr="00E658A8">
        <w:rPr>
          <w:bCs/>
        </w:rPr>
        <w:t xml:space="preserve"> to conflict and solution</w:t>
      </w:r>
    </w:p>
    <w:p w14:paraId="03F05800" w14:textId="1B522EC7" w:rsidR="002B2701" w:rsidRPr="00E658A8" w:rsidRDefault="002B2701" w:rsidP="00E658A8">
      <w:pPr>
        <w:pStyle w:val="ListParagraph"/>
        <w:numPr>
          <w:ilvl w:val="0"/>
          <w:numId w:val="6"/>
        </w:numPr>
        <w:tabs>
          <w:tab w:val="left" w:pos="8956"/>
        </w:tabs>
        <w:ind w:right="206"/>
        <w:jc w:val="both"/>
        <w:rPr>
          <w:bCs/>
        </w:rPr>
      </w:pPr>
      <w:r w:rsidRPr="00E658A8">
        <w:rPr>
          <w:bCs/>
          <w:u w:val="single"/>
        </w:rPr>
        <w:t xml:space="preserve">Post session questionnaire </w:t>
      </w:r>
      <w:r w:rsidR="00C43CE5" w:rsidRPr="00E658A8">
        <w:rPr>
          <w:bCs/>
          <w:u w:val="single"/>
        </w:rPr>
        <w:t>responses</w:t>
      </w:r>
      <w:r w:rsidR="00AC2B62" w:rsidRPr="00E658A8">
        <w:rPr>
          <w:bCs/>
        </w:rPr>
        <w:t>—Thirteen Likert (1-6) agreement scale items on such issues as trust, perceived safety, accuracy, timing, and usability of solutions and the user interface.</w:t>
      </w:r>
    </w:p>
    <w:p w14:paraId="122A6042" w14:textId="1D71EE55" w:rsidR="002B2701" w:rsidRPr="00E658A8" w:rsidRDefault="00AC2B62" w:rsidP="00E658A8">
      <w:pPr>
        <w:ind w:right="790"/>
        <w:jc w:val="both"/>
        <w:rPr>
          <w:b/>
        </w:rPr>
      </w:pPr>
      <w:r w:rsidRPr="00E658A8">
        <w:rPr>
          <w:b/>
        </w:rPr>
        <w:t>Results</w:t>
      </w:r>
    </w:p>
    <w:p w14:paraId="21890DD6" w14:textId="6083A7BD" w:rsidR="002714BD" w:rsidRPr="00E658A8" w:rsidRDefault="00AC2B62" w:rsidP="00E658A8">
      <w:pPr>
        <w:ind w:right="206"/>
        <w:jc w:val="both"/>
        <w:rPr>
          <w:bCs/>
        </w:rPr>
      </w:pPr>
      <w:r w:rsidRPr="00E658A8">
        <w:rPr>
          <w:bCs/>
        </w:rPr>
        <w:t xml:space="preserve">As of this writing, the first of the two simulations </w:t>
      </w:r>
      <w:proofErr w:type="gramStart"/>
      <w:r w:rsidRPr="00E658A8">
        <w:rPr>
          <w:bCs/>
        </w:rPr>
        <w:t>has</w:t>
      </w:r>
      <w:proofErr w:type="gramEnd"/>
      <w:r w:rsidRPr="00E658A8">
        <w:rPr>
          <w:bCs/>
        </w:rPr>
        <w:t xml:space="preserve"> been conducted, and preliminary analysis has been carried out.  Analysis of the full data set can only be completed after simulation 2 finishes in late April, 2022. Thus, the proposed paper and presentation (in-person) would include an analysis of that full data set, along with lessons learnt.</w:t>
      </w:r>
    </w:p>
    <w:p w14:paraId="6C439F12" w14:textId="793A5D76" w:rsidR="002714BD" w:rsidRPr="00E658A8" w:rsidRDefault="002714BD" w:rsidP="00E658A8">
      <w:pPr>
        <w:ind w:right="790"/>
        <w:jc w:val="both"/>
        <w:rPr>
          <w:bCs/>
        </w:rPr>
      </w:pPr>
    </w:p>
    <w:p w14:paraId="45B6B339" w14:textId="5FD6D6F3" w:rsidR="00131B50" w:rsidRPr="00E658A8" w:rsidRDefault="00AC2B62" w:rsidP="00E658A8">
      <w:pPr>
        <w:jc w:val="both"/>
        <w:rPr>
          <w:rFonts w:ascii="Calibri" w:eastAsia="Calibri" w:hAnsi="Calibri" w:cs="Times New Roman"/>
          <w:b/>
          <w:bCs/>
          <w:color w:val="59666D"/>
          <w:lang w:val="en-GB"/>
        </w:rPr>
      </w:pPr>
      <w:r w:rsidRPr="00E658A8">
        <w:rPr>
          <w:rFonts w:ascii="Calibri" w:eastAsia="Calibri" w:hAnsi="Calibri" w:cs="Times New Roman"/>
          <w:b/>
          <w:bCs/>
          <w:color w:val="59666D"/>
          <w:lang w:val="en-GB"/>
        </w:rPr>
        <w:t>References</w:t>
      </w:r>
    </w:p>
    <w:p w14:paraId="2817579B" w14:textId="25A8EAD1" w:rsidR="00C43CE5" w:rsidRPr="00E658A8" w:rsidRDefault="00C43CE5" w:rsidP="00E658A8">
      <w:pPr>
        <w:spacing w:after="0"/>
        <w:ind w:left="360" w:hanging="360"/>
        <w:jc w:val="both"/>
      </w:pPr>
      <w:r w:rsidRPr="00E658A8">
        <w:t xml:space="preserve">[1] </w:t>
      </w:r>
      <w:r w:rsidR="00BF5A96" w:rsidRPr="00E658A8">
        <w:t>MAHALO (2021). Concept Report, deliverable D2.2, SESAR Joint Undertaking (SJU) grant number 892970.</w:t>
      </w:r>
    </w:p>
    <w:p w14:paraId="1D796189" w14:textId="0464BF9B" w:rsidR="00C43CE5" w:rsidRPr="00E658A8" w:rsidRDefault="00C43CE5" w:rsidP="00E658A8">
      <w:pPr>
        <w:spacing w:after="0"/>
        <w:ind w:left="360" w:hanging="360"/>
        <w:jc w:val="both"/>
      </w:pPr>
      <w:r w:rsidRPr="00E658A8">
        <w:t xml:space="preserve">[2] Launchbury, J. (2017). A DARPA Perspective on Artificial Intelligence. Online at: </w:t>
      </w:r>
      <w:hyperlink r:id="rId6" w:history="1">
        <w:r w:rsidRPr="00E658A8">
          <w:rPr>
            <w:rStyle w:val="Hyperlink"/>
          </w:rPr>
          <w:t>https://www.darpa.mil/about-us/darpa-perspective-on-ai</w:t>
        </w:r>
      </w:hyperlink>
    </w:p>
    <w:p w14:paraId="19ED8F9A" w14:textId="549F7552" w:rsidR="00C43CE5" w:rsidRPr="00AC2B62" w:rsidRDefault="00C43CE5">
      <w:pPr>
        <w:rPr>
          <w:sz w:val="24"/>
          <w:szCs w:val="24"/>
        </w:rPr>
      </w:pPr>
    </w:p>
    <w:sectPr w:rsidR="00C43CE5" w:rsidRPr="00AC2B62" w:rsidSect="002714BD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20F"/>
    <w:multiLevelType w:val="hybridMultilevel"/>
    <w:tmpl w:val="CE64551A"/>
    <w:lvl w:ilvl="0" w:tplc="AD96E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A5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026A"/>
    <w:multiLevelType w:val="hybridMultilevel"/>
    <w:tmpl w:val="8026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23B2A"/>
    <w:multiLevelType w:val="hybridMultilevel"/>
    <w:tmpl w:val="0E34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80E00"/>
    <w:multiLevelType w:val="hybridMultilevel"/>
    <w:tmpl w:val="7D56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6226A"/>
    <w:multiLevelType w:val="hybridMultilevel"/>
    <w:tmpl w:val="013E1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BC1E33"/>
    <w:multiLevelType w:val="hybridMultilevel"/>
    <w:tmpl w:val="E5BE3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50"/>
    <w:rsid w:val="0000130D"/>
    <w:rsid w:val="00022D8C"/>
    <w:rsid w:val="00131B50"/>
    <w:rsid w:val="00160B9D"/>
    <w:rsid w:val="0016531F"/>
    <w:rsid w:val="001879E2"/>
    <w:rsid w:val="001C2F82"/>
    <w:rsid w:val="0020591A"/>
    <w:rsid w:val="002714BD"/>
    <w:rsid w:val="002B2701"/>
    <w:rsid w:val="002D1585"/>
    <w:rsid w:val="002E4174"/>
    <w:rsid w:val="002F0AB2"/>
    <w:rsid w:val="00503354"/>
    <w:rsid w:val="00551D54"/>
    <w:rsid w:val="005C791E"/>
    <w:rsid w:val="006D66D3"/>
    <w:rsid w:val="00761757"/>
    <w:rsid w:val="007D3B5F"/>
    <w:rsid w:val="008A5242"/>
    <w:rsid w:val="008F5E63"/>
    <w:rsid w:val="009B6498"/>
    <w:rsid w:val="00A56AA0"/>
    <w:rsid w:val="00AC2B62"/>
    <w:rsid w:val="00AC5E71"/>
    <w:rsid w:val="00BF5A96"/>
    <w:rsid w:val="00C347ED"/>
    <w:rsid w:val="00C43CE5"/>
    <w:rsid w:val="00C506EF"/>
    <w:rsid w:val="00C90F54"/>
    <w:rsid w:val="00D911BE"/>
    <w:rsid w:val="00E658A8"/>
    <w:rsid w:val="00F1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E7D33"/>
  <w15:chartTrackingRefBased/>
  <w15:docId w15:val="{028D24B1-2211-4CE3-B0A6-1D61251D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BodyText,Scroll List Bullet,Párrafo 1 AURORA,Para 0,Paragrafo elenco1,Bullets,Paragraphe de liste,Normal bullet 2,Bullet list,Numbered List,List Paragraph1,Paragraph,Bullet point 1,1st level - Bullet List Paragraph"/>
    <w:basedOn w:val="Normal"/>
    <w:link w:val="ListParagraphChar"/>
    <w:uiPriority w:val="34"/>
    <w:qFormat/>
    <w:rsid w:val="001C2F82"/>
    <w:pPr>
      <w:spacing w:after="200" w:line="276" w:lineRule="auto"/>
      <w:ind w:left="720"/>
      <w:contextualSpacing/>
    </w:pPr>
  </w:style>
  <w:style w:type="table" w:styleId="TableGrid">
    <w:name w:val="Table Grid"/>
    <w:aliases w:val="Check(v)"/>
    <w:basedOn w:val="TableNormal"/>
    <w:uiPriority w:val="39"/>
    <w:rsid w:val="002F0AB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link w:val="BodyTextChar"/>
    <w:qFormat/>
    <w:rsid w:val="009B6498"/>
    <w:pPr>
      <w:spacing w:after="200" w:line="240" w:lineRule="auto"/>
      <w:jc w:val="both"/>
    </w:pPr>
    <w:rPr>
      <w:rFonts w:ascii="Calibri" w:eastAsia="Calibri" w:hAnsi="Calibri" w:cs="Times New Roman"/>
      <w:color w:val="59666D"/>
      <w:lang w:val="en-GB"/>
    </w:rPr>
  </w:style>
  <w:style w:type="paragraph" w:customStyle="1" w:styleId="Listlevel2">
    <w:name w:val="List level 2"/>
    <w:basedOn w:val="ListParagraph"/>
    <w:uiPriority w:val="1"/>
    <w:qFormat/>
    <w:rsid w:val="009B6498"/>
    <w:pPr>
      <w:spacing w:line="240" w:lineRule="auto"/>
      <w:ind w:left="1440" w:hanging="360"/>
      <w:jc w:val="both"/>
    </w:pPr>
    <w:rPr>
      <w:rFonts w:ascii="Calibri" w:eastAsia="Calibri" w:hAnsi="Calibri" w:cs="Times New Roman"/>
      <w:color w:val="59666D"/>
      <w:lang w:val="en-GB" w:eastAsia="en-GB"/>
    </w:rPr>
  </w:style>
  <w:style w:type="character" w:customStyle="1" w:styleId="BodyTextChar">
    <w:name w:val="BodyText Char"/>
    <w:link w:val="BodyText"/>
    <w:rsid w:val="009B6498"/>
    <w:rPr>
      <w:rFonts w:ascii="Calibri" w:eastAsia="Calibri" w:hAnsi="Calibri" w:cs="Times New Roman"/>
      <w:color w:val="59666D"/>
      <w:lang w:val="en-GB"/>
    </w:rPr>
  </w:style>
  <w:style w:type="character" w:customStyle="1" w:styleId="ListParagraphChar">
    <w:name w:val="List Paragraph Char"/>
    <w:aliases w:val="ListBodyText Char,Scroll List Bullet Char,Párrafo 1 AURORA Char,Para 0 Char,Paragrafo elenco1 Char,Bullets Char,Paragraphe de liste Char,Normal bullet 2 Char,Bullet list Char,Numbered List Char,List Paragraph1 Char,Paragraph Char"/>
    <w:link w:val="ListParagraph"/>
    <w:uiPriority w:val="34"/>
    <w:qFormat/>
    <w:rsid w:val="009B6498"/>
  </w:style>
  <w:style w:type="character" w:styleId="Hyperlink">
    <w:name w:val="Hyperlink"/>
    <w:basedOn w:val="DefaultParagraphFont"/>
    <w:uiPriority w:val="99"/>
    <w:unhideWhenUsed/>
    <w:rsid w:val="00C43C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C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0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6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6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6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6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0F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rpa.mil/about-us/darpa-perspective-on-a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Hilburn</cp:lastModifiedBy>
  <cp:revision>2</cp:revision>
  <dcterms:created xsi:type="dcterms:W3CDTF">2022-03-03T15:02:00Z</dcterms:created>
  <dcterms:modified xsi:type="dcterms:W3CDTF">2022-03-03T15:02:00Z</dcterms:modified>
</cp:coreProperties>
</file>